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7046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E5E06D2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68387483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14:paraId="58DAB7B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59C666BB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2B5FF4D1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1B3FCA73" w14:textId="0CEEFE9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5B6EDC" w:rsidRPr="005B6EDC">
        <w:rPr>
          <w:rFonts w:ascii="Times New Roman" w:hAnsi="Times New Roman"/>
          <w:sz w:val="28"/>
          <w:szCs w:val="28"/>
        </w:rPr>
        <w:t>HUSRB/1903/12/0049-B2-6.1.</w:t>
      </w:r>
    </w:p>
    <w:p w14:paraId="79464D0E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19070388" w14:textId="00BFAB5A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5B6EDC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5B6EDC">
        <w:rPr>
          <w:rFonts w:ascii="Times New Roman" w:hAnsi="Times New Roman"/>
          <w:b/>
          <w:smallCaps/>
          <w:sz w:val="28"/>
          <w:lang w:val="en-GB"/>
        </w:rPr>
        <w:t>g</w:t>
      </w:r>
      <w:r w:rsidRPr="005B6EDC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5B6EDC">
        <w:rPr>
          <w:rFonts w:ascii="Times New Roman" w:hAnsi="Times New Roman"/>
          <w:b/>
          <w:smallCaps/>
          <w:sz w:val="28"/>
          <w:lang w:val="en-GB"/>
        </w:rPr>
        <w:t>b</w:t>
      </w:r>
      <w:r w:rsidRPr="005B6EDC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5B6EDC">
        <w:rPr>
          <w:rFonts w:ascii="Times New Roman" w:hAnsi="Times New Roman"/>
          <w:b/>
          <w:smallCaps/>
          <w:sz w:val="28"/>
          <w:lang w:val="en-GB"/>
        </w:rPr>
        <w:t xml:space="preserve"> of the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Union</w:t>
      </w:r>
    </w:p>
    <w:p w14:paraId="14567726" w14:textId="77777777" w:rsidR="005B6EDC" w:rsidRDefault="005B6EDC" w:rsidP="005B6EDC">
      <w:pPr>
        <w:widowControl w:val="0"/>
        <w:snapToGrid w:val="0"/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Public Enterprise </w:t>
      </w:r>
      <w:r w:rsidRPr="005B6EDC">
        <w:rPr>
          <w:rFonts w:ascii="Times New Roman" w:hAnsi="Times New Roman"/>
          <w:b/>
          <w:bCs/>
          <w:sz w:val="22"/>
          <w:szCs w:val="22"/>
          <w:lang w:val="en-GB"/>
        </w:rPr>
        <w:t xml:space="preserve">„Vojvodinasume“,  </w:t>
      </w:r>
    </w:p>
    <w:p w14:paraId="65DAE48B" w14:textId="77777777" w:rsidR="005B6EDC" w:rsidRDefault="005B6EDC" w:rsidP="005B6EDC">
      <w:pPr>
        <w:widowControl w:val="0"/>
        <w:snapToGrid w:val="0"/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5B6EDC">
        <w:rPr>
          <w:rFonts w:ascii="Times New Roman" w:hAnsi="Times New Roman"/>
          <w:b/>
          <w:bCs/>
          <w:sz w:val="22"/>
          <w:szCs w:val="22"/>
          <w:lang w:val="en-GB"/>
        </w:rPr>
        <w:t xml:space="preserve">Preradovićeva 2, 21132 Petrovaradin, Novi Sad, </w:t>
      </w:r>
    </w:p>
    <w:p w14:paraId="3D1F2C2F" w14:textId="5E63AA19" w:rsidR="00AB471B" w:rsidRDefault="005B6EDC" w:rsidP="005B6EDC">
      <w:pPr>
        <w:widowControl w:val="0"/>
        <w:snapToGrid w:val="0"/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5B6EDC">
        <w:rPr>
          <w:rFonts w:ascii="Times New Roman" w:hAnsi="Times New Roman"/>
          <w:b/>
          <w:bCs/>
          <w:sz w:val="22"/>
          <w:szCs w:val="22"/>
          <w:lang w:val="en-GB"/>
        </w:rPr>
        <w:t>Republic of Serbia</w:t>
      </w:r>
    </w:p>
    <w:p w14:paraId="30816410" w14:textId="39D4C8CA" w:rsidR="005B6EDC" w:rsidRDefault="005B6EDC" w:rsidP="005B6EDC">
      <w:pPr>
        <w:widowControl w:val="0"/>
        <w:snapToGrid w:val="0"/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Official registration number: </w:t>
      </w:r>
      <w:r w:rsidRPr="005B6EDC">
        <w:rPr>
          <w:rFonts w:ascii="Times New Roman" w:hAnsi="Times New Roman"/>
          <w:b/>
          <w:bCs/>
          <w:sz w:val="22"/>
          <w:szCs w:val="22"/>
          <w:lang w:val="en-GB"/>
        </w:rPr>
        <w:t>08762198</w:t>
      </w:r>
    </w:p>
    <w:p w14:paraId="10F7181B" w14:textId="23FFCF51" w:rsidR="005B6EDC" w:rsidRPr="005B6EDC" w:rsidRDefault="005B6EDC" w:rsidP="005B6EDC">
      <w:pPr>
        <w:widowControl w:val="0"/>
        <w:snapToGrid w:val="0"/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VAT </w:t>
      </w:r>
      <w:r w:rsidRPr="005B6EDC">
        <w:rPr>
          <w:rFonts w:ascii="Times New Roman" w:hAnsi="Times New Roman"/>
          <w:b/>
          <w:bCs/>
          <w:sz w:val="22"/>
          <w:szCs w:val="22"/>
          <w:lang w:val="en-GB"/>
        </w:rPr>
        <w:t>101636567</w:t>
      </w:r>
    </w:p>
    <w:p w14:paraId="6FEECE41" w14:textId="77777777" w:rsidR="004D2FD8" w:rsidRPr="00387E08" w:rsidRDefault="004D2FD8" w:rsidP="005B6EDC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6B82E2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3288E7E7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49354D8D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CED02C0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4B8F4223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51E91001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7517E7A7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311EE416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0920E18F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4D79DBF4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56F7F189" w14:textId="0FFE02E8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5B6EDC" w:rsidRPr="005B6EDC">
        <w:rPr>
          <w:rFonts w:ascii="Times New Roman" w:hAnsi="Times New Roman"/>
          <w:b/>
          <w:sz w:val="28"/>
          <w:lang w:val="en-GB"/>
        </w:rPr>
        <w:t>Protect Wild Birds = Protect Habitats = Protect Humans</w:t>
      </w:r>
    </w:p>
    <w:p w14:paraId="00FA0311" w14:textId="0784DA4F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5B6EDC" w:rsidRPr="005B6EDC">
        <w:rPr>
          <w:rFonts w:ascii="Times New Roman" w:hAnsi="Times New Roman"/>
          <w:b/>
          <w:sz w:val="28"/>
          <w:lang w:val="en-GB"/>
        </w:rPr>
        <w:t>Procurement of Airboat and field equipment for project BirdPROTECT-B2</w:t>
      </w:r>
    </w:p>
    <w:p w14:paraId="1254650A" w14:textId="44D7AD94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5B6EDC" w:rsidRPr="005B6EDC">
        <w:rPr>
          <w:rFonts w:ascii="Times New Roman" w:hAnsi="Times New Roman"/>
          <w:b/>
          <w:bCs/>
          <w:sz w:val="22"/>
          <w:lang w:val="en-GB"/>
        </w:rPr>
        <w:t>HUSRB/1903/12/0049-B2-6.1.</w:t>
      </w:r>
    </w:p>
    <w:p w14:paraId="4AB4FD83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1C6E5782" w14:textId="77777777"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14:paraId="501FC7FA" w14:textId="77777777"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688AB50A" w14:textId="77777777" w:rsidR="005B6EDC" w:rsidRPr="0042695A" w:rsidRDefault="005B6EDC" w:rsidP="005B6EDC">
      <w:pPr>
        <w:spacing w:before="0" w:after="0"/>
        <w:ind w:left="709" w:hanging="142"/>
        <w:jc w:val="both"/>
        <w:rPr>
          <w:highlight w:val="yellow"/>
        </w:rPr>
      </w:pPr>
      <w:r w:rsidRPr="00015213">
        <w:rPr>
          <w:rFonts w:ascii="Times New Roman" w:hAnsi="Times New Roman"/>
          <w:sz w:val="22"/>
        </w:rPr>
        <w:t xml:space="preserve">the supply, delivery, unloading </w:t>
      </w:r>
      <w:r w:rsidRPr="00015213">
        <w:rPr>
          <w:rFonts w:ascii="Times New Roman" w:hAnsi="Times New Roman"/>
          <w:sz w:val="22"/>
          <w:lang w:val="en-GB"/>
        </w:rPr>
        <w:t>by the</w:t>
      </w:r>
      <w:r w:rsidRPr="00E82463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>c</w:t>
      </w:r>
      <w:r w:rsidRPr="00E82463">
        <w:rPr>
          <w:rFonts w:ascii="Times New Roman" w:hAnsi="Times New Roman"/>
          <w:sz w:val="22"/>
          <w:lang w:val="en-GB"/>
        </w:rPr>
        <w:t xml:space="preserve">ontractor </w:t>
      </w:r>
      <w:r w:rsidRPr="004F1F8C">
        <w:rPr>
          <w:rFonts w:ascii="Times New Roman" w:hAnsi="Times New Roman"/>
          <w:sz w:val="22"/>
        </w:rPr>
        <w:t>of the following supplies:</w:t>
      </w:r>
    </w:p>
    <w:p w14:paraId="2C502DE1" w14:textId="77777777" w:rsidR="005B6EDC" w:rsidRDefault="005B6EDC" w:rsidP="005B6EDC">
      <w:pPr>
        <w:spacing w:before="0" w:after="0"/>
        <w:ind w:left="567"/>
        <w:rPr>
          <w:rFonts w:ascii="Times New Roman" w:hAnsi="Times New Roman"/>
          <w:b/>
          <w:sz w:val="22"/>
          <w:szCs w:val="22"/>
          <w:u w:val="single"/>
        </w:rPr>
      </w:pPr>
    </w:p>
    <w:p w14:paraId="1AFCE423" w14:textId="77777777" w:rsidR="005B6EDC" w:rsidRPr="005C2EB2" w:rsidRDefault="005B6EDC" w:rsidP="005B6EDC">
      <w:pPr>
        <w:spacing w:before="0" w:after="0"/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5C2EB2">
        <w:rPr>
          <w:rFonts w:ascii="Times New Roman" w:hAnsi="Times New Roman"/>
          <w:b/>
          <w:sz w:val="22"/>
          <w:szCs w:val="22"/>
          <w:u w:val="single"/>
        </w:rPr>
        <w:lastRenderedPageBreak/>
        <w:t>LOT 1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Airboat </w:t>
      </w:r>
    </w:p>
    <w:p w14:paraId="72C8CC8F" w14:textId="77777777" w:rsidR="005B6EDC" w:rsidRPr="00DC7602" w:rsidRDefault="005B6EDC" w:rsidP="005B6EDC">
      <w:pPr>
        <w:spacing w:before="0" w:after="0"/>
        <w:ind w:left="567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6425"/>
        <w:gridCol w:w="985"/>
      </w:tblGrid>
      <w:tr w:rsidR="005B6EDC" w:rsidRPr="00DC7602" w14:paraId="3649BFF5" w14:textId="77777777" w:rsidTr="00F2111C">
        <w:trPr>
          <w:trHeight w:val="3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1C5C6C7C" w14:textId="77777777" w:rsidR="005B6EDC" w:rsidRPr="00DC7602" w:rsidRDefault="005B6EDC" w:rsidP="00F2111C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7F21" w14:textId="77777777" w:rsidR="005B6EDC" w:rsidRPr="00DC7602" w:rsidRDefault="005B6EDC" w:rsidP="00F2111C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E3AA" w14:textId="77777777" w:rsidR="005B6EDC" w:rsidRPr="00DC7602" w:rsidRDefault="005B6EDC" w:rsidP="00F2111C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Qty</w:t>
            </w:r>
          </w:p>
        </w:tc>
      </w:tr>
      <w:tr w:rsidR="005B6EDC" w:rsidRPr="00DC7602" w14:paraId="6D7ECE35" w14:textId="77777777" w:rsidTr="00F2111C">
        <w:trPr>
          <w:trHeight w:val="16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F39E" w14:textId="77777777" w:rsidR="005B6EDC" w:rsidRPr="00396D6A" w:rsidRDefault="005B6EDC" w:rsidP="00F2111C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D6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D787" w14:textId="77777777" w:rsidR="005B6EDC" w:rsidRPr="00396D6A" w:rsidRDefault="005B6EDC" w:rsidP="00F2111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5213">
              <w:rPr>
                <w:rFonts w:ascii="Times New Roman" w:hAnsi="Times New Roman"/>
                <w:sz w:val="22"/>
                <w:szCs w:val="22"/>
              </w:rPr>
              <w:t>Airboat- flat-bottomed boats propelled forward by a fan or propeller+boat trailer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3BCB" w14:textId="7BC6CC90" w:rsidR="005B6EDC" w:rsidRPr="00396D6A" w:rsidRDefault="00B8444A" w:rsidP="00F2111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34B9C3F0" w14:textId="77777777" w:rsidR="005B6EDC" w:rsidRDefault="005B6EDC" w:rsidP="005B6EDC">
      <w:pPr>
        <w:spacing w:before="0" w:after="0"/>
        <w:ind w:left="567"/>
        <w:rPr>
          <w:rFonts w:ascii="Times New Roman" w:hAnsi="Times New Roman"/>
          <w:b/>
          <w:sz w:val="22"/>
          <w:szCs w:val="22"/>
          <w:u w:val="single"/>
        </w:rPr>
      </w:pPr>
    </w:p>
    <w:p w14:paraId="7D858858" w14:textId="4068A9C1" w:rsidR="005B6EDC" w:rsidRDefault="005B6EDC" w:rsidP="005B6EDC">
      <w:pPr>
        <w:spacing w:before="0" w:after="0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Pr="00AC28E2">
        <w:rPr>
          <w:rFonts w:ascii="Times New Roman" w:hAnsi="Times New Roman"/>
          <w:sz w:val="22"/>
        </w:rPr>
        <w:t>JP</w:t>
      </w:r>
      <w:r w:rsidRPr="00015213">
        <w:rPr>
          <w:rFonts w:ascii="Times New Roman" w:hAnsi="Times New Roman"/>
          <w:sz w:val="22"/>
        </w:rPr>
        <w:t xml:space="preserve"> „Vojvodinasume“,  Preradovićeva 2, 21132 Petrovaradin, Novi Sad, Republic </w:t>
      </w:r>
      <w:r w:rsidRPr="005B6EDC">
        <w:rPr>
          <w:rFonts w:ascii="Times New Roman" w:hAnsi="Times New Roman"/>
          <w:sz w:val="22"/>
        </w:rPr>
        <w:t>of Serbia</w:t>
      </w:r>
      <w:r w:rsidRPr="005B6EDC">
        <w:rPr>
          <w:rFonts w:ascii="Times New Roman" w:hAnsi="Times New Roman"/>
          <w:sz w:val="22"/>
          <w:lang w:val="en-GB"/>
        </w:rPr>
        <w:t xml:space="preserve">, the time limits for delivery shall be </w:t>
      </w:r>
      <w:r w:rsidR="00B8444A">
        <w:rPr>
          <w:rFonts w:ascii="Times New Roman" w:hAnsi="Times New Roman"/>
          <w:sz w:val="22"/>
        </w:rPr>
        <w:t>6</w:t>
      </w:r>
      <w:r w:rsidRPr="005B6EDC">
        <w:rPr>
          <w:rFonts w:ascii="Times New Roman" w:hAnsi="Times New Roman"/>
          <w:sz w:val="22"/>
        </w:rPr>
        <w:t xml:space="preserve"> months </w:t>
      </w:r>
      <w:r w:rsidRPr="005B6EDC">
        <w:rPr>
          <w:rFonts w:ascii="Times New Roman" w:hAnsi="Times New Roman"/>
          <w:sz w:val="22"/>
          <w:lang w:val="en-GB"/>
        </w:rPr>
        <w:t>and the Incoterm applicable shall be DDP</w:t>
      </w:r>
      <w:r w:rsidRPr="005B6E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5B6EDC">
        <w:rPr>
          <w:rFonts w:ascii="Times New Roman" w:hAnsi="Times New Roman"/>
          <w:sz w:val="22"/>
          <w:lang w:val="en-GB"/>
        </w:rPr>
        <w:t xml:space="preserve">. The implementation period of tasks shall run from </w:t>
      </w:r>
      <w:r w:rsidRPr="005B6EDC">
        <w:rPr>
          <w:rFonts w:ascii="Times New Roman" w:hAnsi="Times New Roman"/>
          <w:sz w:val="22"/>
        </w:rPr>
        <w:t>signing the contract</w:t>
      </w:r>
      <w:r w:rsidRPr="005B6EDC">
        <w:rPr>
          <w:rFonts w:ascii="Times New Roman" w:hAnsi="Times New Roman"/>
          <w:sz w:val="22"/>
          <w:lang w:val="en-GB"/>
        </w:rPr>
        <w:t xml:space="preserve"> to date for provisional acceptance.</w:t>
      </w:r>
    </w:p>
    <w:p w14:paraId="70A370FD" w14:textId="77777777" w:rsidR="005B6EDC" w:rsidRDefault="005B6EDC" w:rsidP="005B6EDC">
      <w:pPr>
        <w:spacing w:before="0" w:after="0"/>
        <w:ind w:left="567"/>
        <w:rPr>
          <w:rFonts w:ascii="Times New Roman" w:hAnsi="Times New Roman"/>
          <w:b/>
          <w:sz w:val="22"/>
          <w:szCs w:val="22"/>
          <w:u w:val="single"/>
        </w:rPr>
      </w:pPr>
    </w:p>
    <w:p w14:paraId="559E8B41" w14:textId="06CC8F55" w:rsidR="005B6EDC" w:rsidRPr="005C2EB2" w:rsidRDefault="005B6EDC" w:rsidP="005B6EDC">
      <w:pPr>
        <w:spacing w:before="0" w:after="0"/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5C2EB2">
        <w:rPr>
          <w:rFonts w:ascii="Times New Roman" w:hAnsi="Times New Roman"/>
          <w:b/>
          <w:sz w:val="22"/>
          <w:szCs w:val="22"/>
          <w:u w:val="single"/>
        </w:rPr>
        <w:t xml:space="preserve">LOT </w:t>
      </w:r>
      <w:r>
        <w:rPr>
          <w:rFonts w:ascii="Times New Roman" w:hAnsi="Times New Roman"/>
          <w:b/>
          <w:sz w:val="22"/>
          <w:szCs w:val="22"/>
          <w:u w:val="single"/>
        </w:rPr>
        <w:t>2 - F</w:t>
      </w:r>
      <w:r w:rsidRPr="00015213">
        <w:rPr>
          <w:rFonts w:ascii="Times New Roman" w:hAnsi="Times New Roman"/>
          <w:b/>
          <w:sz w:val="22"/>
          <w:szCs w:val="22"/>
          <w:u w:val="single"/>
        </w:rPr>
        <w:t>ield equipment</w:t>
      </w:r>
    </w:p>
    <w:p w14:paraId="3E5117E0" w14:textId="77777777" w:rsidR="005B6EDC" w:rsidRPr="00DC7602" w:rsidRDefault="005B6EDC" w:rsidP="005B6EDC">
      <w:pPr>
        <w:spacing w:before="0" w:after="0"/>
        <w:ind w:left="567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6425"/>
        <w:gridCol w:w="986"/>
      </w:tblGrid>
      <w:tr w:rsidR="005B6EDC" w:rsidRPr="00DC7602" w14:paraId="07004B6A" w14:textId="77777777" w:rsidTr="00F2111C">
        <w:trPr>
          <w:trHeight w:val="3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480DCF5B" w14:textId="77777777" w:rsidR="005B6EDC" w:rsidRPr="00DC7602" w:rsidRDefault="005B6EDC" w:rsidP="00F2111C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ADE0" w14:textId="77777777" w:rsidR="005B6EDC" w:rsidRPr="00DC7602" w:rsidRDefault="005B6EDC" w:rsidP="00F2111C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3FB9" w14:textId="77777777" w:rsidR="005B6EDC" w:rsidRPr="00DC7602" w:rsidRDefault="005B6EDC" w:rsidP="00F2111C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76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Qty</w:t>
            </w:r>
          </w:p>
        </w:tc>
      </w:tr>
      <w:tr w:rsidR="005B6EDC" w:rsidRPr="00DC7602" w14:paraId="3334D18A" w14:textId="77777777" w:rsidTr="00F2111C">
        <w:trPr>
          <w:trHeight w:val="16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9E59E" w14:textId="77777777" w:rsidR="005B6EDC" w:rsidRPr="00D07644" w:rsidRDefault="005B6EDC" w:rsidP="00F2111C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64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BC82" w14:textId="77777777" w:rsidR="005B6EDC" w:rsidRPr="00D07644" w:rsidRDefault="005B6EDC" w:rsidP="00F2111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5213">
              <w:rPr>
                <w:rFonts w:ascii="Times New Roman" w:hAnsi="Times New Roman"/>
                <w:sz w:val="22"/>
                <w:szCs w:val="22"/>
              </w:rPr>
              <w:t xml:space="preserve">Professional 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015213">
              <w:rPr>
                <w:rFonts w:ascii="Times New Roman" w:hAnsi="Times New Roman"/>
                <w:sz w:val="22"/>
                <w:szCs w:val="22"/>
              </w:rPr>
              <w:t>inocular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A676" w14:textId="77777777" w:rsidR="005B6EDC" w:rsidRPr="00D07644" w:rsidRDefault="005B6EDC" w:rsidP="00F2111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B6EDC" w:rsidRPr="00DC7602" w14:paraId="10A05F03" w14:textId="77777777" w:rsidTr="00F2111C">
        <w:trPr>
          <w:trHeight w:val="16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7585A" w14:textId="77777777" w:rsidR="005B6EDC" w:rsidRPr="00D07644" w:rsidRDefault="005B6EDC" w:rsidP="00F2111C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64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3789" w14:textId="77777777" w:rsidR="005B6EDC" w:rsidRPr="00D07644" w:rsidRDefault="005B6EDC" w:rsidP="00F2111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5213">
              <w:rPr>
                <w:rFonts w:ascii="Times New Roman" w:hAnsi="Times New Roman"/>
                <w:sz w:val="22"/>
                <w:szCs w:val="22"/>
              </w:rPr>
              <w:t>Night Vision Equipment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3725" w14:textId="77777777" w:rsidR="005B6EDC" w:rsidRPr="00D07644" w:rsidRDefault="005B6EDC" w:rsidP="00F2111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70405F16" w14:textId="58896A69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bookmarkStart w:id="2" w:name="_Hlk60145783"/>
      <w:r w:rsidR="005B6EDC" w:rsidRPr="00AC28E2">
        <w:rPr>
          <w:rFonts w:ascii="Times New Roman" w:hAnsi="Times New Roman"/>
          <w:sz w:val="22"/>
        </w:rPr>
        <w:t>JP</w:t>
      </w:r>
      <w:r w:rsidR="005B6EDC" w:rsidRPr="00015213">
        <w:rPr>
          <w:rFonts w:ascii="Times New Roman" w:hAnsi="Times New Roman"/>
          <w:sz w:val="22"/>
        </w:rPr>
        <w:t xml:space="preserve"> „Vojvodinasume“,  Preradovićeva 2, 21132 Petrovaradin, Novi Sad, Republic </w:t>
      </w:r>
      <w:r w:rsidR="005B6EDC" w:rsidRPr="005B6EDC">
        <w:rPr>
          <w:rFonts w:ascii="Times New Roman" w:hAnsi="Times New Roman"/>
          <w:sz w:val="22"/>
        </w:rPr>
        <w:t>of Serbia</w:t>
      </w:r>
      <w:bookmarkEnd w:id="2"/>
      <w:r w:rsidR="00B202BC" w:rsidRPr="005B6EDC">
        <w:rPr>
          <w:rFonts w:ascii="Times New Roman" w:hAnsi="Times New Roman"/>
          <w:sz w:val="22"/>
          <w:lang w:val="en-GB"/>
        </w:rPr>
        <w:t xml:space="preserve">, </w:t>
      </w:r>
      <w:r w:rsidRPr="005B6EDC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8444A">
        <w:rPr>
          <w:rFonts w:ascii="Times New Roman" w:hAnsi="Times New Roman"/>
          <w:sz w:val="22"/>
        </w:rPr>
        <w:t>3</w:t>
      </w:r>
      <w:r w:rsidR="005B6EDC" w:rsidRPr="005B6EDC">
        <w:rPr>
          <w:rFonts w:ascii="Times New Roman" w:hAnsi="Times New Roman"/>
          <w:sz w:val="22"/>
        </w:rPr>
        <w:t xml:space="preserve"> months </w:t>
      </w:r>
      <w:r w:rsidRPr="005B6EDC">
        <w:rPr>
          <w:rFonts w:ascii="Times New Roman" w:hAnsi="Times New Roman"/>
          <w:sz w:val="22"/>
          <w:lang w:val="en-GB"/>
        </w:rPr>
        <w:t>and the Incoterm applicable shall be DDP</w:t>
      </w:r>
      <w:r w:rsidR="00E2190B" w:rsidRPr="005B6EDC">
        <w:rPr>
          <w:rStyle w:val="FootnoteReference"/>
          <w:rFonts w:ascii="Times New Roman" w:hAnsi="Times New Roman"/>
          <w:sz w:val="22"/>
          <w:lang w:val="en-GB"/>
        </w:rPr>
        <w:footnoteReference w:id="5"/>
      </w:r>
      <w:r w:rsidRPr="005B6EDC">
        <w:rPr>
          <w:rFonts w:ascii="Times New Roman" w:hAnsi="Times New Roman"/>
          <w:sz w:val="22"/>
          <w:lang w:val="en-GB"/>
        </w:rPr>
        <w:t xml:space="preserve">. The </w:t>
      </w:r>
      <w:r w:rsidR="00360344" w:rsidRPr="005B6EDC">
        <w:rPr>
          <w:rFonts w:ascii="Times New Roman" w:hAnsi="Times New Roman"/>
          <w:sz w:val="22"/>
          <w:lang w:val="en-GB"/>
        </w:rPr>
        <w:t>implementation</w:t>
      </w:r>
      <w:r w:rsidRPr="005B6EDC">
        <w:rPr>
          <w:rFonts w:ascii="Times New Roman" w:hAnsi="Times New Roman"/>
          <w:sz w:val="22"/>
          <w:lang w:val="en-GB"/>
        </w:rPr>
        <w:t xml:space="preserve"> period</w:t>
      </w:r>
      <w:r w:rsidR="00387E08" w:rsidRPr="005B6EDC">
        <w:rPr>
          <w:rFonts w:ascii="Times New Roman" w:hAnsi="Times New Roman"/>
          <w:sz w:val="22"/>
          <w:lang w:val="en-GB"/>
        </w:rPr>
        <w:t xml:space="preserve"> of tasks</w:t>
      </w:r>
      <w:r w:rsidRPr="005B6EDC">
        <w:rPr>
          <w:rFonts w:ascii="Times New Roman" w:hAnsi="Times New Roman"/>
          <w:sz w:val="22"/>
          <w:lang w:val="en-GB"/>
        </w:rPr>
        <w:t xml:space="preserve"> shall run from </w:t>
      </w:r>
      <w:r w:rsidR="005B6EDC" w:rsidRPr="005B6EDC">
        <w:rPr>
          <w:rFonts w:ascii="Times New Roman" w:hAnsi="Times New Roman"/>
          <w:sz w:val="22"/>
        </w:rPr>
        <w:t>signing the contract</w:t>
      </w:r>
      <w:r w:rsidR="00315611" w:rsidRPr="005B6EDC">
        <w:rPr>
          <w:rFonts w:ascii="Times New Roman" w:hAnsi="Times New Roman"/>
          <w:sz w:val="22"/>
          <w:lang w:val="en-GB"/>
        </w:rPr>
        <w:t xml:space="preserve"> </w:t>
      </w:r>
      <w:r w:rsidRPr="005B6EDC">
        <w:rPr>
          <w:rFonts w:ascii="Times New Roman" w:hAnsi="Times New Roman"/>
          <w:sz w:val="22"/>
          <w:lang w:val="en-GB"/>
        </w:rPr>
        <w:t xml:space="preserve">to </w:t>
      </w:r>
      <w:r w:rsidR="00073C0E" w:rsidRPr="005B6EDC">
        <w:rPr>
          <w:rFonts w:ascii="Times New Roman" w:hAnsi="Times New Roman"/>
          <w:sz w:val="22"/>
          <w:lang w:val="en-GB"/>
        </w:rPr>
        <w:t>date for provisional acceptance</w:t>
      </w:r>
      <w:r w:rsidRPr="005B6EDC">
        <w:rPr>
          <w:rFonts w:ascii="Times New Roman" w:hAnsi="Times New Roman"/>
          <w:sz w:val="22"/>
          <w:lang w:val="en-GB"/>
        </w:rPr>
        <w:t>.</w:t>
      </w:r>
    </w:p>
    <w:p w14:paraId="708CD2F0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436CB39C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3C334B7A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16E35F10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2BC2B730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67FA8620" w14:textId="7732AD22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5B6EDC">
        <w:rPr>
          <w:rFonts w:ascii="Times New Roman" w:hAnsi="Times New Roman"/>
          <w:sz w:val="22"/>
          <w:lang w:val="en-GB"/>
        </w:rPr>
        <w:t xml:space="preserve">RSD </w:t>
      </w:r>
      <w:r w:rsidR="00B202BC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14:paraId="10F863BA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241691D7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10E5B296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5700D0EC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555BE2EC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411D54DF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1D4DC063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4ADA537B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6E627B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6E627B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6E627B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6E627B">
        <w:rPr>
          <w:rFonts w:ascii="Times New Roman" w:hAnsi="Times New Roman"/>
          <w:sz w:val="22"/>
          <w:highlight w:val="lightGray"/>
          <w:lang w:val="en-GB"/>
        </w:rPr>
        <w:t>]</w:t>
      </w:r>
      <w:r w:rsidR="00B202BC" w:rsidRPr="006E627B">
        <w:rPr>
          <w:rFonts w:ascii="Times New Roman" w:hAnsi="Times New Roman"/>
          <w:sz w:val="22"/>
          <w:highlight w:val="lightGray"/>
          <w:lang w:val="en-GB"/>
        </w:rPr>
        <w:t>)</w:t>
      </w:r>
      <w:r w:rsidRPr="006E627B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34C17465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7C9B10F1" w14:textId="77777777"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="007C75E0" w:rsidRPr="006E627B">
        <w:rPr>
          <w:rFonts w:ascii="Times New Roman" w:hAnsi="Times New Roman"/>
          <w:sz w:val="22"/>
          <w:highlight w:val="lightGray"/>
          <w:lang w:val="en-GB"/>
        </w:rPr>
        <w:t xml:space="preserve">specified </w:t>
      </w:r>
      <w:r w:rsidR="00B80DE8" w:rsidRPr="006E627B">
        <w:rPr>
          <w:rFonts w:ascii="Times New Roman" w:hAnsi="Times New Roman"/>
          <w:sz w:val="22"/>
          <w:highlight w:val="lightGray"/>
          <w:lang w:val="en-GB"/>
        </w:rPr>
        <w:t>forms and other relevant documents</w:t>
      </w:r>
      <w:r w:rsidR="00085CA1" w:rsidRPr="006E627B">
        <w:rPr>
          <w:rFonts w:ascii="Times New Roman" w:hAnsi="Times New Roman"/>
          <w:sz w:val="22"/>
          <w:highlight w:val="lightGray"/>
          <w:lang w:val="en-GB"/>
        </w:rPr>
        <w:t xml:space="preserve"> (Annex V</w:t>
      </w:r>
      <w:r w:rsidR="00216F0D" w:rsidRPr="006E627B">
        <w:rPr>
          <w:rFonts w:ascii="Times New Roman" w:hAnsi="Times New Roman"/>
          <w:sz w:val="22"/>
          <w:highlight w:val="lightGray"/>
          <w:lang w:val="en-GB"/>
        </w:rPr>
        <w:t>)</w:t>
      </w:r>
      <w:r>
        <w:rPr>
          <w:rFonts w:ascii="Times New Roman" w:hAnsi="Times New Roman"/>
          <w:sz w:val="22"/>
          <w:lang w:val="en-GB"/>
        </w:rPr>
        <w:t>]</w:t>
      </w:r>
      <w:r w:rsidR="00B80DE8" w:rsidRPr="00A940DC">
        <w:rPr>
          <w:rFonts w:ascii="Times New Roman" w:hAnsi="Times New Roman"/>
          <w:sz w:val="22"/>
          <w:lang w:val="en-GB"/>
        </w:rPr>
        <w:t>;</w:t>
      </w:r>
    </w:p>
    <w:p w14:paraId="63E5EDFA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07349FFD" w14:textId="48565FB1" w:rsidR="005B03BC" w:rsidRPr="005B03BC" w:rsidRDefault="005B6EDC" w:rsidP="00764FC7">
      <w:pPr>
        <w:jc w:val="both"/>
        <w:rPr>
          <w:rFonts w:ascii="Times New Roman" w:hAnsi="Times New Roman"/>
          <w:sz w:val="22"/>
          <w:lang w:val="en-GB"/>
        </w:rPr>
      </w:pPr>
      <w:r w:rsidRPr="008034D8">
        <w:rPr>
          <w:rFonts w:ascii="Times New Roman" w:hAnsi="Times New Roman"/>
          <w:sz w:val="22"/>
          <w:lang w:val="en-GB"/>
        </w:rPr>
        <w:t>Done in English in four originals, two originals being for the Contracting Authority and two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8034D8">
        <w:rPr>
          <w:rFonts w:ascii="Times New Roman" w:hAnsi="Times New Roman"/>
          <w:sz w:val="22"/>
          <w:lang w:val="en-GB"/>
        </w:rPr>
        <w:t>original</w:t>
      </w:r>
      <w:r>
        <w:rPr>
          <w:rFonts w:ascii="Times New Roman" w:hAnsi="Times New Roman"/>
          <w:sz w:val="22"/>
          <w:lang w:val="en-GB"/>
        </w:rPr>
        <w:t>s</w:t>
      </w:r>
      <w:r w:rsidRPr="008034D8">
        <w:rPr>
          <w:rFonts w:ascii="Times New Roman" w:hAnsi="Times New Roman"/>
          <w:sz w:val="22"/>
          <w:lang w:val="en-GB"/>
        </w:rPr>
        <w:t xml:space="preserve"> being for the Contractor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14:paraId="08EA57FF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42445ED3" w14:textId="77777777" w:rsidTr="00514BE0">
        <w:trPr>
          <w:trHeight w:val="520"/>
        </w:trPr>
        <w:tc>
          <w:tcPr>
            <w:tcW w:w="4253" w:type="dxa"/>
            <w:gridSpan w:val="2"/>
          </w:tcPr>
          <w:p w14:paraId="213E9620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7911FDD9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218B6155" w14:textId="77777777" w:rsidTr="00514BE0">
        <w:trPr>
          <w:cantSplit/>
          <w:trHeight w:val="555"/>
        </w:trPr>
        <w:tc>
          <w:tcPr>
            <w:tcW w:w="1985" w:type="dxa"/>
          </w:tcPr>
          <w:p w14:paraId="53F69B32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6AC9F23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761D09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1E8CFB24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AF268FC" w14:textId="77777777" w:rsidTr="00514BE0">
        <w:trPr>
          <w:cantSplit/>
          <w:trHeight w:val="577"/>
        </w:trPr>
        <w:tc>
          <w:tcPr>
            <w:tcW w:w="1985" w:type="dxa"/>
          </w:tcPr>
          <w:p w14:paraId="7B21B7C4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793DBC1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E625733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7DB8226E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C0DCD2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884EA86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E25F2D7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E20BF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9F84AA0" w14:textId="77777777" w:rsidTr="00514BE0">
        <w:trPr>
          <w:cantSplit/>
          <w:trHeight w:val="878"/>
        </w:trPr>
        <w:tc>
          <w:tcPr>
            <w:tcW w:w="1985" w:type="dxa"/>
          </w:tcPr>
          <w:p w14:paraId="50B26C5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7F3AC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A31B6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3030B16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71226D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E68D3F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6982D4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570DDD8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518D97D" w14:textId="77777777" w:rsidTr="00514BE0">
        <w:trPr>
          <w:cantSplit/>
          <w:trHeight w:val="428"/>
        </w:trPr>
        <w:tc>
          <w:tcPr>
            <w:tcW w:w="1985" w:type="dxa"/>
          </w:tcPr>
          <w:p w14:paraId="5553BA0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813CF6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7B091CE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7A6AC6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02FAC6D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7FF6AB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5AB5AA98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D0ED" w14:textId="77777777" w:rsidR="00DF5AC0" w:rsidRDefault="00DF5AC0">
      <w:r>
        <w:separator/>
      </w:r>
    </w:p>
    <w:p w14:paraId="0D56CB53" w14:textId="77777777" w:rsidR="00DF5AC0" w:rsidRDefault="00DF5AC0"/>
  </w:endnote>
  <w:endnote w:type="continuationSeparator" w:id="0">
    <w:p w14:paraId="2FBC74D4" w14:textId="77777777" w:rsidR="00DF5AC0" w:rsidRDefault="00DF5AC0">
      <w:r>
        <w:continuationSeparator/>
      </w:r>
    </w:p>
    <w:p w14:paraId="6BDAA39B" w14:textId="77777777" w:rsidR="00DF5AC0" w:rsidRDefault="00DF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08BC" w14:textId="77777777"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21B3DAE2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0F74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2BF8B62D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295F" w14:textId="77777777" w:rsidR="00DF5AC0" w:rsidRDefault="00DF5AC0" w:rsidP="008056C4">
      <w:pPr>
        <w:spacing w:before="0" w:after="0"/>
      </w:pPr>
      <w:r>
        <w:separator/>
      </w:r>
    </w:p>
  </w:footnote>
  <w:footnote w:type="continuationSeparator" w:id="0">
    <w:p w14:paraId="78AD0B46" w14:textId="77777777" w:rsidR="00DF5AC0" w:rsidRDefault="00DF5AC0">
      <w:r>
        <w:continuationSeparator/>
      </w:r>
    </w:p>
    <w:p w14:paraId="2196815B" w14:textId="77777777" w:rsidR="00DF5AC0" w:rsidRDefault="00DF5AC0"/>
  </w:footnote>
  <w:footnote w:id="1">
    <w:p w14:paraId="343BD20B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75F5C9E8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714FC848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346C066D" w14:textId="77777777" w:rsidR="005B6EDC" w:rsidRPr="00C675D1" w:rsidRDefault="005B6EDC" w:rsidP="005B6EDC">
      <w:pPr>
        <w:pStyle w:val="FootnoteText"/>
        <w:rPr>
          <w:lang w:val="en-GB"/>
        </w:rPr>
      </w:pPr>
      <w:r w:rsidRPr="005B6EDC">
        <w:rPr>
          <w:rStyle w:val="FootnoteReference"/>
        </w:rPr>
        <w:footnoteRef/>
      </w:r>
      <w:r w:rsidRPr="005B6EDC">
        <w:rPr>
          <w:lang w:val="en-GB"/>
        </w:rPr>
        <w:tab/>
        <w:t>DDP (Delivered Duty Paid)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  <w:footnote w:id="5">
    <w:p w14:paraId="1CC36DDE" w14:textId="614FDFF2" w:rsidR="00326BE0" w:rsidRPr="00C675D1" w:rsidRDefault="00326BE0" w:rsidP="008056C4">
      <w:pPr>
        <w:pStyle w:val="FootnoteText"/>
        <w:rPr>
          <w:lang w:val="en-GB"/>
        </w:rPr>
      </w:pPr>
      <w:r w:rsidRPr="005B6EDC">
        <w:rPr>
          <w:rStyle w:val="FootnoteReference"/>
        </w:rPr>
        <w:footnoteRef/>
      </w:r>
      <w:r w:rsidR="00764FC7" w:rsidRPr="005B6EDC">
        <w:rPr>
          <w:lang w:val="en-GB"/>
        </w:rPr>
        <w:tab/>
      </w:r>
      <w:r w:rsidRPr="005B6EDC">
        <w:rPr>
          <w:lang w:val="en-GB"/>
        </w:rPr>
        <w:t>DDP (Delivered Duty Paid)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2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3DBA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435AC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B6EDC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27B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8444A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5AC0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F51F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3612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Natasa</cp:lastModifiedBy>
  <cp:revision>2</cp:revision>
  <cp:lastPrinted>2012-10-22T09:58:00Z</cp:lastPrinted>
  <dcterms:created xsi:type="dcterms:W3CDTF">2020-12-31T07:31:00Z</dcterms:created>
  <dcterms:modified xsi:type="dcterms:W3CDTF">2020-12-31T07:31:00Z</dcterms:modified>
</cp:coreProperties>
</file>